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August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175260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Invivyd,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001-40703</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45" w:lineRule="exact"/>
        <w:rPr>
          <w:sz w:val="24"/>
          <w:szCs w:val="24"/>
          <w:color w:val="auto"/>
        </w:rPr>
      </w:pPr>
    </w:p>
    <w:p>
      <w:pPr>
        <w:sectPr>
          <w:pgSz w:w="11900" w:h="16838" w:orient="portrait"/>
          <w:cols w:equalWidth="0" w:num="1">
            <w:col w:w="9019"/>
          </w:cols>
          <w:pgMar w:left="1440" w:top="305"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1601 Trapelo Road, Suite 178</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Waltham, MA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02451</w:t>
      </w:r>
    </w:p>
    <w:p>
      <w:pPr>
        <w:spacing w:after="0" w:line="28"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37"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819-0080</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IVVD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4"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8.01. Other Events.</w:t>
      </w:r>
    </w:p>
    <w:p>
      <w:pPr>
        <w:spacing w:after="0" w:line="80" w:lineRule="exact"/>
        <w:rPr>
          <w:sz w:val="20"/>
          <w:szCs w:val="20"/>
          <w:color w:val="auto"/>
        </w:rPr>
      </w:pPr>
    </w:p>
    <w:p>
      <w:pPr>
        <w:ind w:left="640" w:right="899" w:firstLine="309"/>
        <w:spacing w:after="0" w:line="238" w:lineRule="auto"/>
        <w:rPr>
          <w:sz w:val="20"/>
          <w:szCs w:val="20"/>
          <w:color w:val="auto"/>
        </w:rPr>
      </w:pPr>
      <w:r>
        <w:rPr>
          <w:rFonts w:ascii="Times New Roman" w:cs="Times New Roman" w:eastAsia="Times New Roman" w:hAnsi="Times New Roman"/>
          <w:sz w:val="12"/>
          <w:szCs w:val="12"/>
          <w:color w:val="auto"/>
        </w:rPr>
        <w:t>On August 27, 2024, Invivyd, Inc. (the “Company”) issued a press release entitled “Invivyd Announces PEMGARDA</w:t>
      </w:r>
      <w:r>
        <w:rPr>
          <w:rFonts w:ascii="Times New Roman" w:cs="Times New Roman" w:eastAsia="Times New Roman" w:hAnsi="Times New Roman"/>
          <w:sz w:val="17"/>
          <w:szCs w:val="17"/>
          <w:color w:val="auto"/>
          <w:vertAlign w:val="superscript"/>
        </w:rPr>
        <w:t>(TM)</w:t>
      </w:r>
      <w:r>
        <w:rPr>
          <w:rFonts w:ascii="Times New Roman" w:cs="Times New Roman" w:eastAsia="Times New Roman" w:hAnsi="Times New Roman"/>
          <w:sz w:val="12"/>
          <w:szCs w:val="12"/>
          <w:color w:val="auto"/>
        </w:rPr>
        <w:t xml:space="preserve"> (pemivibart) Demonstrated 84% Relative Risk Reduction in Symptomatic COVID-19 Compared to Placebo in an Exploratory Analysis from Ongoing CANOPY Phase 3 Clinical Trial.” A copy of the press release is filed herewith as Exhibit 99.1 and is incorporated by reference in this Item 8.01.</w:t>
      </w:r>
    </w:p>
    <w:p>
      <w:pPr>
        <w:spacing w:after="0" w:line="139" w:lineRule="exact"/>
        <w:rPr>
          <w:sz w:val="20"/>
          <w:szCs w:val="20"/>
          <w:color w:val="auto"/>
        </w:rPr>
      </w:pPr>
    </w:p>
    <w:p>
      <w:pPr>
        <w:ind w:left="640" w:right="879" w:firstLine="309"/>
        <w:spacing w:after="0" w:line="267" w:lineRule="auto"/>
        <w:rPr>
          <w:sz w:val="20"/>
          <w:szCs w:val="20"/>
          <w:color w:val="auto"/>
        </w:rPr>
      </w:pPr>
      <w:r>
        <w:rPr>
          <w:rFonts w:ascii="Times New Roman" w:cs="Times New Roman" w:eastAsia="Times New Roman" w:hAnsi="Times New Roman"/>
          <w:sz w:val="13"/>
          <w:szCs w:val="13"/>
          <w:color w:val="auto"/>
        </w:rPr>
        <w:t>On August 27, 2024, the Company posted an updated corporate presentation on its website at www.invivyd.com. A copy of the presentation is filed herewith as Exhibit 99.2 and is incorporated by reference in this Item 8.01.</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760" w:type="dxa"/>
            <w:vAlign w:val="bottom"/>
            <w:vMerge w:val="restart"/>
          </w:tcPr>
          <w:p>
            <w:pPr>
              <w:ind w:left="9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1"/>
        </w:trPr>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No.</w:t>
            </w:r>
          </w:p>
        </w:tc>
        <w:tc>
          <w:tcPr>
            <w:tcW w:w="30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7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5"/>
                <w:szCs w:val="15"/>
                <w:color w:val="auto"/>
              </w:rPr>
            </w:pPr>
          </w:p>
        </w:tc>
        <w:tc>
          <w:tcPr>
            <w:tcW w:w="1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Press Release, dated August 27, 2024</w:t>
            </w:r>
          </w:p>
        </w:tc>
        <w:tc>
          <w:tcPr>
            <w:tcW w:w="5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0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Corporate Presentation, dated August 27, 2024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INVIVYD,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August 27,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Jill Andersen</w:t>
      </w:r>
    </w:p>
    <w:p>
      <w:pPr>
        <w:spacing w:after="0" w:line="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Legal Officer and Corporate Secretary</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776605" cy="174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6605" cy="17462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40" w:right="1099"/>
        <w:spacing w:after="0" w:line="214" w:lineRule="auto"/>
        <w:rPr>
          <w:sz w:val="20"/>
          <w:szCs w:val="20"/>
          <w:color w:val="auto"/>
        </w:rPr>
      </w:pPr>
      <w:r>
        <w:rPr>
          <w:rFonts w:ascii="Times New Roman" w:cs="Times New Roman" w:eastAsia="Times New Roman" w:hAnsi="Times New Roman"/>
          <w:sz w:val="13"/>
          <w:szCs w:val="13"/>
          <w:b w:val="1"/>
          <w:bCs w:val="1"/>
          <w:color w:val="auto"/>
        </w:rPr>
        <w:t>Invivyd Announces PEMGARDA</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(pemivibart) Demonstrated 84% Relative Risk Reduction in Symptomatic COVID-19 Compared to Placebo in an Exploratory Analysis from Ongoing CANOPY Phase 3 Clinical Trial</w:t>
      </w:r>
    </w:p>
    <w:p>
      <w:pPr>
        <w:spacing w:after="0" w:line="71" w:lineRule="exact"/>
        <w:rPr>
          <w:sz w:val="20"/>
          <w:szCs w:val="20"/>
          <w:color w:val="auto"/>
        </w:rPr>
      </w:pPr>
    </w:p>
    <w:p>
      <w:pPr>
        <w:ind w:left="1320" w:right="799" w:hanging="303"/>
        <w:spacing w:after="0" w:line="25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 all-comer cohort of immunocompetent individuals at risk of contracting symptomatic COVID-19 in their everyday social interactions, participants receiving pemivibart experienced a 1.9% rate of confirmed symptomatic COVID-19 compared to an 11.9% rate for participants receiving placebo, an 84% relative risk reduction (nominal p= 0.000061)</w:t>
      </w:r>
    </w:p>
    <w:p>
      <w:pPr>
        <w:spacing w:after="0" w:line="59" w:lineRule="exact"/>
        <w:rPr>
          <w:rFonts w:ascii="Times New Roman" w:cs="Times New Roman" w:eastAsia="Times New Roman" w:hAnsi="Times New Roman"/>
          <w:sz w:val="13"/>
          <w:szCs w:val="13"/>
          <w:color w:val="auto"/>
        </w:rPr>
      </w:pPr>
    </w:p>
    <w:p>
      <w:pPr>
        <w:ind w:left="1320" w:right="105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 immunocompromised participants, pemivibart demonstrated a rate of 3% of confirmed symptomatic COVID-19, an encouraging potential signal of protection during the assessed time period</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CANOPY data from planned exploratory clinical efficacy analyses during the 180-day period that included XBB* and JN.1* virus lineages</w:t>
      </w:r>
    </w:p>
    <w:p>
      <w:pPr>
        <w:spacing w:after="0" w:line="98"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Safety profile of pemivibart consistent with previously reported CANOPY clinical trial data</w:t>
      </w:r>
    </w:p>
    <w:p>
      <w:pPr>
        <w:spacing w:after="0" w:line="87" w:lineRule="exact"/>
        <w:rPr>
          <w:rFonts w:ascii="Times New Roman" w:cs="Times New Roman" w:eastAsia="Times New Roman" w:hAnsi="Times New Roman"/>
          <w:sz w:val="13"/>
          <w:szCs w:val="13"/>
          <w:color w:val="auto"/>
        </w:rPr>
      </w:pPr>
    </w:p>
    <w:p>
      <w:pPr>
        <w:ind w:left="1320" w:right="117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PEMGARDA (pemivibart) Fact Sheet for Healthcare Providers updated by U.S. Food and Drug Administration (FDA) including exploratory clinical efficacy data</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Conference call today at 8:30AM EDT to discuss CANOPY data analyses</w:t>
      </w:r>
    </w:p>
    <w:p>
      <w:pPr>
        <w:spacing w:after="0" w:line="154" w:lineRule="exact"/>
        <w:rPr>
          <w:sz w:val="20"/>
          <w:szCs w:val="20"/>
          <w:color w:val="auto"/>
        </w:rPr>
      </w:pPr>
    </w:p>
    <w:p>
      <w:pPr>
        <w:jc w:val="both"/>
        <w:ind w:left="640" w:right="819"/>
        <w:spacing w:after="0" w:line="288" w:lineRule="auto"/>
        <w:rPr>
          <w:sz w:val="20"/>
          <w:szCs w:val="20"/>
          <w:color w:val="auto"/>
        </w:rPr>
      </w:pPr>
      <w:r>
        <w:rPr>
          <w:rFonts w:ascii="Times New Roman" w:cs="Times New Roman" w:eastAsia="Times New Roman" w:hAnsi="Times New Roman"/>
          <w:sz w:val="12"/>
          <w:szCs w:val="12"/>
          <w:b w:val="1"/>
          <w:bCs w:val="1"/>
          <w:color w:val="auto"/>
        </w:rPr>
        <w:t xml:space="preserve">WALTHAM, Mass., August 27, 2024 </w:t>
      </w:r>
      <w:r>
        <w:rPr>
          <w:rFonts w:ascii="Times New Roman" w:cs="Times New Roman" w:eastAsia="Times New Roman" w:hAnsi="Times New Roman"/>
          <w:sz w:val="12"/>
          <w:szCs w:val="12"/>
          <w:color w:val="auto"/>
        </w:rPr>
        <w:t>– Invivyd, Inc. (Nasdaq: IVVD), a biopharmaceutical company devoted to delivering protection from serious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viral infectious diseases, today announced positive 180-day exploratory clinical efficacy data from the company’s ongoing CANOPY Phase 3 clinical trial of pemivibart, a half-life extended investigational monoclonal antibody (mAb), for the pre-exposure prophylaxis (PrEP) of COVID-19.</w:t>
      </w:r>
    </w:p>
    <w:p>
      <w:pPr>
        <w:spacing w:after="0" w:line="112"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The exploratory clinical efficacy data in Cohort B, a placebo-controlled cohort of all-comer immunocompetent individuals, showed a relative risk reduction of 84% with pemivibart compared to placebo in the likelihood of trial participants contracting confirmed symptomatic COVID-19, with no hospitalizations or deaths due to COVID-19 reported. Cohort B participants treated with pemivibart experienced a 1.9% rate of symptomatic COVID-19 across a 180-day time period, whereas Cohort B participants in the placebo arm experienced an 11.9% rate of symptomatic COVID-19, a robust attack rate for the trial. Cases of COVID-19 observed in the pemivibart arm were mild or moderate in severity.</w:t>
      </w:r>
    </w:p>
    <w:p>
      <w:pPr>
        <w:spacing w:after="0" w:line="134"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Additionally, in Cohort A, the single-arm immunocompromised cohort of the trial, pemivibart demonstrated a 3% rate of confirmed symptomatic COVID-19 over the 180-day period. Cases of COVID-19 observed in this cohort were also mild or moderate in severity. These exploratory data support the concept of potential protection observed with pemivibart, aligned with expectations of a highly active prophylactic monoclonal antibody in this population.</w:t>
      </w:r>
    </w:p>
    <w:p>
      <w:pPr>
        <w:spacing w:after="0" w:line="133"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The safety profile of pemivibart in the second half of the assessed 180-day time period remained consistent with previously disclosed CANOPY clinical trial data. In Cohort A, the most common treatment-emergent adverse events (TEAE) were viral infection (7.8%), upper respiratory tract infection (URTI) (7.5%), influenza like illness (4.2%), infusion related reactions (3.6%), and urinary tract infection (3.6%). Anaphylaxis was observed in 4 participants (0.6%) – 2 participants during the first infusion and 2</w:t>
      </w:r>
    </w:p>
    <w:p>
      <w:pPr>
        <w:sectPr>
          <w:pgSz w:w="11900" w:h="16838" w:orient="portrait"/>
          <w:cols w:equalWidth="0" w:num="1">
            <w:col w:w="9019"/>
          </w:cols>
          <w:pgMar w:left="1440" w:top="125" w:right="1440" w:bottom="1440" w:gutter="0" w:footer="0" w:header="0"/>
        </w:sectPr>
      </w:pPr>
    </w:p>
    <w:bookmarkStart w:id="4" w:name="page5"/>
    <w:bookmarkEnd w:id="4"/>
    <w:p>
      <w:pPr>
        <w:ind w:left="640" w:right="75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participants during the second infusion; two reactions were life-threatening, and all led to permanent discontinuation of pemivibart. Systemic infusion-related reactions and hypersensitivity reactions were observed within 24 hours of dosing pemivibart in 8.2% and 3.9% of participants after the initial dose and redose, respectively, of this open-label single-arm cohort and were generally mild to moderate in severity. In Cohort B, the most common TEAEs in the pemivibart arm were URTI (8.2%), viral infection (7.3%), and influenza like illness (5.4%), with similar percentages in the placebo arm. No participants developed anaphylaxis. Systemic infusion-related reactions and hypersensitivity reactions were observed within 24 hours of dosing pemivibart in 1.3% and 2.5% of participants after the initial dose and redose, respectively, and all were mild or moderate in severity.</w:t>
      </w:r>
    </w:p>
    <w:p>
      <w:pPr>
        <w:spacing w:after="0" w:line="123"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CANOPY clinical trial results provide data from mAb administration in a contemporary population that likely had acquired prior immune exposure from either vaccination or natural infection and overlapped with the height of the September 2023-March 2024 XBB* and JN.1* waves that saw a surge in COVID-19 cases nationwide in the United States. By contrast, ancestral studies of COVID-19 PrEP candidate mAbs were performed in populations naïve to vaccination or prior infection. CANOPY clinical trial participants received two doses of pemivibart (Cohort A and B) or placebo (Cohort B) administered via intravenous (IV) infusion three months apart; safety, serum virus neutralizing antibody (sVNA) titers and clinical endpoints were assessed at pre-specified timepoints over the 180-day period.</w:t>
      </w:r>
    </w:p>
    <w:p>
      <w:pPr>
        <w:spacing w:after="0" w:line="135" w:lineRule="exact"/>
        <w:rPr>
          <w:sz w:val="20"/>
          <w:szCs w:val="20"/>
          <w:color w:val="auto"/>
        </w:rPr>
      </w:pPr>
    </w:p>
    <w:p>
      <w:pPr>
        <w:ind w:left="640" w:right="919"/>
        <w:spacing w:after="0" w:line="251" w:lineRule="auto"/>
        <w:rPr>
          <w:sz w:val="20"/>
          <w:szCs w:val="20"/>
          <w:color w:val="auto"/>
        </w:rPr>
      </w:pPr>
      <w:r>
        <w:rPr>
          <w:rFonts w:ascii="Times New Roman" w:cs="Times New Roman" w:eastAsia="Times New Roman" w:hAnsi="Times New Roman"/>
          <w:sz w:val="13"/>
          <w:szCs w:val="13"/>
          <w:color w:val="auto"/>
        </w:rPr>
        <w:t>The 180-day clinical efficacy exploratory data announced today complements the initial clinical efficacy exploratory data demonstrating potential signals of clinical protection from symptomatic COVID-19 shared previously. The company expects the full data set to be provided in an upcoming scientific publication. The PEMGARDA (pemivibart) Fact Sheet for Healthcare Providers was updated by the U.S. Food and Drug Administration (FDA) including 180-day exploratory clinical efficacy data.</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following table elaborates the principal exploratory clinical efficacy findings based on the full 180-day analyses: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CANOPY Clinical Efficacy Results Over 180 Days</w:t>
      </w:r>
    </w:p>
    <w:p>
      <w:pPr>
        <w:spacing w:after="0" w:line="160"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40" w:type="dxa"/>
            <w:vAlign w:val="bottom"/>
            <w:gridSpan w:val="2"/>
          </w:tcPr>
          <w:p>
            <w:pPr>
              <w:jc w:val="center"/>
              <w:ind w:right="960"/>
              <w:spacing w:after="0"/>
              <w:rPr>
                <w:sz w:val="20"/>
                <w:szCs w:val="20"/>
                <w:color w:val="auto"/>
              </w:rPr>
            </w:pPr>
            <w:r>
              <w:rPr>
                <w:rFonts w:ascii="Times New Roman" w:cs="Times New Roman" w:eastAsia="Times New Roman" w:hAnsi="Times New Roman"/>
                <w:sz w:val="10"/>
                <w:szCs w:val="10"/>
                <w:b w:val="1"/>
                <w:bCs w:val="1"/>
                <w:color w:val="auto"/>
              </w:rPr>
              <w:t>Standardized</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540" w:type="dxa"/>
            <w:vAlign w:val="bottom"/>
            <w:gridSpan w:val="2"/>
          </w:tcPr>
          <w:p>
            <w:pPr>
              <w:jc w:val="center"/>
              <w:ind w:right="960"/>
              <w:spacing w:after="0" w:line="104" w:lineRule="exact"/>
              <w:rPr>
                <w:sz w:val="20"/>
                <w:szCs w:val="20"/>
                <w:color w:val="auto"/>
              </w:rPr>
            </w:pPr>
            <w:r>
              <w:rPr>
                <w:rFonts w:ascii="Times New Roman" w:cs="Times New Roman" w:eastAsia="Times New Roman" w:hAnsi="Times New Roman"/>
                <w:sz w:val="10"/>
                <w:szCs w:val="10"/>
                <w:b w:val="1"/>
                <w:bCs w:val="1"/>
                <w:color w:val="auto"/>
              </w:rPr>
              <w:t>Relative Risk</w:t>
            </w:r>
          </w:p>
        </w:tc>
        <w:tc>
          <w:tcPr>
            <w:tcW w:w="5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8"/>
              </w:rPr>
              <w:t>Nominal</w:t>
            </w:r>
          </w:p>
        </w:tc>
        <w:tc>
          <w:tcPr>
            <w:tcW w:w="0" w:type="dxa"/>
            <w:vAlign w:val="bottom"/>
          </w:tcPr>
          <w:p>
            <w:pPr>
              <w:spacing w:after="0"/>
              <w:rPr>
                <w:sz w:val="1"/>
                <w:szCs w:val="1"/>
                <w:color w:val="auto"/>
              </w:rPr>
            </w:pPr>
          </w:p>
        </w:tc>
      </w:tr>
      <w:tr>
        <w:trPr>
          <w:trHeight w:val="104"/>
        </w:trPr>
        <w:tc>
          <w:tcPr>
            <w:tcW w:w="4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Cohort B</w:t>
            </w:r>
          </w:p>
        </w:tc>
        <w:tc>
          <w:tcPr>
            <w:tcW w:w="2500" w:type="dxa"/>
            <w:vAlign w:val="bottom"/>
            <w:vMerge w:val="restart"/>
          </w:tcPr>
          <w:p>
            <w:pPr>
              <w:spacing w:after="0"/>
              <w:rPr>
                <w:sz w:val="9"/>
                <w:szCs w:val="9"/>
                <w:color w:val="auto"/>
              </w:rPr>
            </w:pPr>
          </w:p>
        </w:tc>
        <w:tc>
          <w:tcPr>
            <w:tcW w:w="10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Pemivibart</w:t>
            </w:r>
          </w:p>
        </w:tc>
        <w:tc>
          <w:tcPr>
            <w:tcW w:w="10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w w:val="95"/>
              </w:rPr>
              <w:t>Placebo</w:t>
            </w:r>
          </w:p>
        </w:tc>
        <w:tc>
          <w:tcPr>
            <w:tcW w:w="1540" w:type="dxa"/>
            <w:vAlign w:val="bottom"/>
            <w:gridSpan w:val="2"/>
          </w:tcPr>
          <w:p>
            <w:pPr>
              <w:jc w:val="center"/>
              <w:ind w:right="980"/>
              <w:spacing w:after="0" w:line="104" w:lineRule="exact"/>
              <w:rPr>
                <w:sz w:val="20"/>
                <w:szCs w:val="20"/>
                <w:color w:val="auto"/>
              </w:rPr>
            </w:pPr>
            <w:r>
              <w:rPr>
                <w:rFonts w:ascii="Times New Roman" w:cs="Times New Roman" w:eastAsia="Times New Roman" w:hAnsi="Times New Roman"/>
                <w:sz w:val="10"/>
                <w:szCs w:val="10"/>
                <w:b w:val="1"/>
                <w:bCs w:val="1"/>
                <w:color w:val="auto"/>
              </w:rPr>
              <w:t>Reduction</w:t>
            </w:r>
          </w:p>
        </w:tc>
        <w:tc>
          <w:tcPr>
            <w:tcW w:w="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00" w:type="dxa"/>
            <w:vAlign w:val="bottom"/>
            <w:tcBorders>
              <w:bottom w:val="single" w:sz="8" w:color="auto"/>
            </w:tcBorders>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540" w:type="dxa"/>
            <w:vAlign w:val="bottom"/>
            <w:gridSpan w:val="2"/>
          </w:tcPr>
          <w:p>
            <w:pPr>
              <w:jc w:val="center"/>
              <w:ind w:right="980"/>
              <w:spacing w:after="0" w:line="112" w:lineRule="exact"/>
              <w:rPr>
                <w:sz w:val="20"/>
                <w:szCs w:val="20"/>
                <w:color w:val="auto"/>
              </w:rPr>
            </w:pPr>
            <w:r>
              <w:rPr>
                <w:rFonts w:ascii="Times New Roman" w:cs="Times New Roman" w:eastAsia="Times New Roman" w:hAnsi="Times New Roman"/>
                <w:sz w:val="10"/>
                <w:szCs w:val="10"/>
                <w:b w:val="1"/>
                <w:bCs w:val="1"/>
                <w:color w:val="auto"/>
                <w:w w:val="99"/>
              </w:rPr>
              <w:t>(95% CI)</w:t>
            </w:r>
          </w:p>
        </w:tc>
        <w:tc>
          <w:tcPr>
            <w:tcW w:w="560" w:type="dxa"/>
            <w:vAlign w:val="bottom"/>
            <w:gridSpan w:val="2"/>
          </w:tcPr>
          <w:p>
            <w:pPr>
              <w:jc w:val="center"/>
              <w:ind w:right="40"/>
              <w:spacing w:after="0" w:line="112" w:lineRule="exact"/>
              <w:rPr>
                <w:sz w:val="20"/>
                <w:szCs w:val="20"/>
                <w:color w:val="auto"/>
              </w:rPr>
            </w:pPr>
            <w:r>
              <w:rPr>
                <w:rFonts w:ascii="Times New Roman" w:cs="Times New Roman" w:eastAsia="Times New Roman" w:hAnsi="Times New Roman"/>
                <w:sz w:val="10"/>
                <w:szCs w:val="10"/>
                <w:b w:val="1"/>
                <w:bCs w:val="1"/>
                <w:color w:val="auto"/>
              </w:rPr>
              <w:t>p-value</w:t>
            </w:r>
          </w:p>
        </w:tc>
        <w:tc>
          <w:tcPr>
            <w:tcW w:w="0" w:type="dxa"/>
            <w:vAlign w:val="bottom"/>
          </w:tcPr>
          <w:p>
            <w:pPr>
              <w:spacing w:after="0"/>
              <w:rPr>
                <w:sz w:val="1"/>
                <w:szCs w:val="1"/>
                <w:color w:val="auto"/>
              </w:rPr>
            </w:pPr>
          </w:p>
        </w:tc>
      </w:tr>
      <w:tr>
        <w:trPr>
          <w:trHeight w:val="121"/>
        </w:trPr>
        <w:tc>
          <w:tcPr>
            <w:tcW w:w="2900" w:type="dxa"/>
            <w:vAlign w:val="bottom"/>
            <w:tcBorders>
              <w:top w:val="single" w:sz="8" w:color="CCEEFF"/>
            </w:tcBorders>
            <w:gridSpan w:val="2"/>
            <w:shd w:val="clear" w:color="auto" w:fill="CCEEFF"/>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Modified Full Analysis Set</w:t>
            </w:r>
          </w:p>
        </w:tc>
        <w:tc>
          <w:tcPr>
            <w:tcW w:w="5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317</w:t>
            </w: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color w:val="auto"/>
              </w:rPr>
              <w:t>160</w:t>
            </w: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9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Composite RT-PCR confirmed COVID-19,</w:t>
            </w: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COVID-19-related Hospitalization, and All-cause</w:t>
            </w:r>
          </w:p>
        </w:tc>
        <w:tc>
          <w:tcPr>
            <w:tcW w:w="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Mortality</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 (1.9%)</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19 (11.9%)</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84.1% (60.9, 93.5)</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0.000061</w:t>
            </w:r>
          </w:p>
        </w:tc>
        <w:tc>
          <w:tcPr>
            <w:tcW w:w="0" w:type="dxa"/>
            <w:vAlign w:val="bottom"/>
          </w:tcPr>
          <w:p>
            <w:pPr>
              <w:spacing w:after="0"/>
              <w:rPr>
                <w:sz w:val="1"/>
                <w:szCs w:val="1"/>
                <w:color w:val="auto"/>
              </w:rPr>
            </w:pPr>
          </w:p>
        </w:tc>
      </w:tr>
      <w:tr>
        <w:trPr>
          <w:trHeight w:val="152"/>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RT-PCR confirmed COVID-19</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6</w:t>
            </w: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color w:val="auto"/>
              </w:rPr>
              <w:t>19</w:t>
            </w: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COVID-19-related Hospitalization</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0</w:t>
            </w:r>
          </w:p>
        </w:tc>
        <w:tc>
          <w:tcPr>
            <w:tcW w:w="10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3"/>
                <w:szCs w:val="13"/>
                <w:color w:val="auto"/>
              </w:rPr>
              <w:t>0</w:t>
            </w:r>
          </w:p>
        </w:tc>
        <w:tc>
          <w:tcPr>
            <w:tcW w:w="5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COVID-19-related Death</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0</w:t>
            </w: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color w:val="auto"/>
              </w:rPr>
              <w:t>0</w:t>
            </w: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All-cause Mortality</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0</w:t>
            </w:r>
          </w:p>
        </w:tc>
        <w:tc>
          <w:tcPr>
            <w:tcW w:w="10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3"/>
                <w:szCs w:val="13"/>
                <w:color w:val="auto"/>
              </w:rPr>
              <w:t>0</w:t>
            </w:r>
          </w:p>
        </w:tc>
        <w:tc>
          <w:tcPr>
            <w:tcW w:w="5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640" w:right="1059"/>
        <w:spacing w:after="0" w:line="270" w:lineRule="auto"/>
        <w:rPr>
          <w:sz w:val="20"/>
          <w:szCs w:val="20"/>
          <w:color w:val="auto"/>
        </w:rPr>
      </w:pPr>
      <w:r>
        <w:rPr>
          <w:rFonts w:ascii="Times New Roman" w:cs="Times New Roman" w:eastAsia="Times New Roman" w:hAnsi="Times New Roman"/>
          <w:sz w:val="13"/>
          <w:szCs w:val="13"/>
          <w:i w:val="1"/>
          <w:iCs w:val="1"/>
          <w:color w:val="auto"/>
        </w:rPr>
        <w:t>Based on CANOPY 6-month data cutoff (21May2024). Cohort B Modified Full Analysis Set includes all randomized participants without current SARS-CoV-2 infection at baseline as measured by central lab RT-PCR.</w:t>
      </w:r>
    </w:p>
    <w:p>
      <w:pPr>
        <w:sectPr>
          <w:pgSz w:w="11900" w:h="16838" w:orient="portrait"/>
          <w:cols w:equalWidth="0" w:num="1">
            <w:col w:w="9019"/>
          </w:cols>
          <w:pgMar w:left="1440" w:top="231" w:right="1440" w:bottom="1440" w:gutter="0" w:footer="0" w:header="0"/>
        </w:sectPr>
      </w:pPr>
    </w:p>
    <w:bookmarkStart w:id="5" w:name="page6"/>
    <w:bookmarkEnd w:id="5"/>
    <w:tbl>
      <w:tblPr>
        <w:tblLayout w:type="fixed"/>
        <w:tblInd w:w="1880" w:type="dxa"/>
        <w:tblCellMar>
          <w:top w:w="0" w:type="dxa"/>
          <w:left w:w="0" w:type="dxa"/>
          <w:bottom w:w="0" w:type="dxa"/>
          <w:right w:w="0" w:type="dxa"/>
        </w:tblCellMar>
      </w:tblPr>
      <w:tr>
        <w:trPr>
          <w:trHeight w:val="121"/>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Cohort A</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Pemivibart</w:t>
            </w: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1"/>
        </w:trPr>
        <w:tc>
          <w:tcPr>
            <w:tcW w:w="374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Full Analysis Set</w:t>
            </w: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5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w:t>
            </w:r>
          </w:p>
        </w:tc>
        <w:tc>
          <w:tcPr>
            <w:tcW w:w="150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298</w:t>
            </w:r>
          </w:p>
        </w:tc>
      </w:tr>
      <w:tr>
        <w:trPr>
          <w:trHeight w:val="139"/>
        </w:trPr>
        <w:tc>
          <w:tcPr>
            <w:tcW w:w="374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Composite RT-PCR confirmed COVID-19, COVID-19-related</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4"/>
        </w:trPr>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Hospitalization, and All-cause Mortality</w:t>
            </w:r>
          </w:p>
        </w:tc>
        <w:tc>
          <w:tcPr>
            <w:tcW w:w="15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11 (3.7%)*</w:t>
            </w:r>
          </w:p>
        </w:tc>
      </w:tr>
      <w:tr>
        <w:trPr>
          <w:trHeight w:val="152"/>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RT-PCR confirmed COVID-19</w:t>
            </w:r>
          </w:p>
        </w:tc>
        <w:tc>
          <w:tcPr>
            <w:tcW w:w="6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w w:val="91"/>
              </w:rPr>
              <w:t>9</w:t>
            </w: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COVID-19-related Hospitalization</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w w:val="91"/>
              </w:rPr>
              <w:t>0</w:t>
            </w:r>
          </w:p>
        </w:tc>
        <w:tc>
          <w:tcPr>
            <w:tcW w:w="840" w:type="dxa"/>
            <w:vAlign w:val="bottom"/>
            <w:shd w:val="clear" w:color="auto" w:fill="CCEEFF"/>
          </w:tcPr>
          <w:p>
            <w:pPr>
              <w:spacing w:after="0"/>
              <w:rPr>
                <w:sz w:val="13"/>
                <w:szCs w:val="13"/>
                <w:color w:val="auto"/>
              </w:rPr>
            </w:pPr>
          </w:p>
        </w:tc>
      </w:tr>
      <w:tr>
        <w:trPr>
          <w:trHeight w:val="139"/>
        </w:trPr>
        <w:tc>
          <w:tcPr>
            <w:tcW w:w="374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COVID-19-related Death</w:t>
            </w:r>
          </w:p>
        </w:tc>
        <w:tc>
          <w:tcPr>
            <w:tcW w:w="660" w:type="dxa"/>
            <w:vAlign w:val="bottom"/>
            <w:gridSpan w:val="2"/>
          </w:tcPr>
          <w:p>
            <w:pPr>
              <w:ind w:left="580"/>
              <w:spacing w:after="0" w:line="139" w:lineRule="exact"/>
              <w:rPr>
                <w:sz w:val="20"/>
                <w:szCs w:val="20"/>
                <w:color w:val="auto"/>
              </w:rPr>
            </w:pPr>
            <w:r>
              <w:rPr>
                <w:rFonts w:ascii="Times New Roman" w:cs="Times New Roman" w:eastAsia="Times New Roman" w:hAnsi="Times New Roman"/>
                <w:sz w:val="13"/>
                <w:szCs w:val="13"/>
                <w:color w:val="auto"/>
                <w:w w:val="91"/>
              </w:rPr>
              <w:t>0</w:t>
            </w:r>
          </w:p>
        </w:tc>
        <w:tc>
          <w:tcPr>
            <w:tcW w:w="840" w:type="dxa"/>
            <w:vAlign w:val="bottom"/>
          </w:tcPr>
          <w:p>
            <w:pPr>
              <w:spacing w:after="0"/>
              <w:rPr>
                <w:sz w:val="12"/>
                <w:szCs w:val="12"/>
                <w:color w:val="auto"/>
              </w:rPr>
            </w:pPr>
          </w:p>
        </w:tc>
      </w:tr>
      <w:tr>
        <w:trPr>
          <w:trHeight w:val="165"/>
        </w:trPr>
        <w:tc>
          <w:tcPr>
            <w:tcW w:w="37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All-cause Mortality</w:t>
            </w:r>
          </w:p>
        </w:tc>
        <w:tc>
          <w:tcPr>
            <w:tcW w:w="6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w w:val="91"/>
              </w:rPr>
              <w:t>2</w:t>
            </w: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drawing>
          <wp:anchor simplePos="0" relativeHeight="251657728" behindDoc="1" locked="0" layoutInCell="0" allowOverlap="1">
            <wp:simplePos x="0" y="0"/>
            <wp:positionH relativeFrom="column">
              <wp:posOffset>1193165</wp:posOffset>
            </wp:positionH>
            <wp:positionV relativeFrom="paragraph">
              <wp:posOffset>-95885</wp:posOffset>
            </wp:positionV>
            <wp:extent cx="3333750" cy="487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33750" cy="48768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2"/>
          <w:szCs w:val="12"/>
          <w:i w:val="1"/>
          <w:iCs w:val="1"/>
          <w:color w:val="auto"/>
        </w:rPr>
        <w:t>*One death is due</w:t>
      </w:r>
    </w:p>
    <w:p>
      <w:pPr>
        <w:spacing w:after="0" w:line="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3"/>
          <w:szCs w:val="13"/>
          <w:i w:val="1"/>
          <w:iCs w:val="1"/>
          <w:color w:val="auto"/>
        </w:rPr>
        <w:t>to an unknown</w:t>
      </w:r>
    </w:p>
    <w:p>
      <w:pPr>
        <w:spacing w:after="0" w:line="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3"/>
          <w:szCs w:val="13"/>
          <w:i w:val="1"/>
          <w:iCs w:val="1"/>
          <w:color w:val="auto"/>
        </w:rPr>
        <w:t>cause and one</w:t>
      </w:r>
    </w:p>
    <w:p>
      <w:pPr>
        <w:spacing w:after="0" w:line="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3"/>
          <w:szCs w:val="13"/>
          <w:i w:val="1"/>
          <w:iCs w:val="1"/>
          <w:color w:val="auto"/>
        </w:rPr>
        <w:t>due to suicide</w:t>
      </w:r>
    </w:p>
    <w:p>
      <w:pPr>
        <w:spacing w:after="0" w:line="148" w:lineRule="exact"/>
        <w:rPr>
          <w:sz w:val="20"/>
          <w:szCs w:val="20"/>
          <w:color w:val="auto"/>
        </w:rPr>
      </w:pPr>
    </w:p>
    <w:p>
      <w:pPr>
        <w:ind w:left="640" w:right="699"/>
        <w:spacing w:after="0" w:line="270" w:lineRule="auto"/>
        <w:rPr>
          <w:sz w:val="20"/>
          <w:szCs w:val="20"/>
          <w:color w:val="auto"/>
        </w:rPr>
      </w:pPr>
      <w:r>
        <w:rPr>
          <w:rFonts w:ascii="Times New Roman" w:cs="Times New Roman" w:eastAsia="Times New Roman" w:hAnsi="Times New Roman"/>
          <w:sz w:val="13"/>
          <w:szCs w:val="13"/>
          <w:i w:val="1"/>
          <w:iCs w:val="1"/>
          <w:color w:val="auto"/>
        </w:rPr>
        <w:t>Based on CANOPY 6-month data cutoff (21May2024). Cohort A Full Analysis Set includes all participants who received a full dose of study drug at the initial dosing.</w:t>
      </w:r>
    </w:p>
    <w:p>
      <w:pPr>
        <w:spacing w:after="0" w:line="45" w:lineRule="exact"/>
        <w:rPr>
          <w:sz w:val="20"/>
          <w:szCs w:val="20"/>
          <w:color w:val="auto"/>
        </w:rPr>
      </w:pPr>
    </w:p>
    <w:p>
      <w:pPr>
        <w:ind w:left="640" w:right="739"/>
        <w:spacing w:after="0" w:line="247" w:lineRule="auto"/>
        <w:rPr>
          <w:sz w:val="20"/>
          <w:szCs w:val="20"/>
          <w:color w:val="auto"/>
        </w:rPr>
      </w:pPr>
      <w:r>
        <w:rPr>
          <w:rFonts w:ascii="Times New Roman" w:cs="Times New Roman" w:eastAsia="Times New Roman" w:hAnsi="Times New Roman"/>
          <w:sz w:val="13"/>
          <w:szCs w:val="13"/>
          <w:color w:val="auto"/>
        </w:rPr>
        <w:t>“We are thrilled with the clinically meaningful protection shown by pemivibart in these exploratory analyses during a 180-day period with various SARS-CoV-2 circulating variants” commented Mark A. Wingertzahn, SVP of Clinical Development and Medical Affairs. “These CANOPY clinical efficacy data provide an important reminder that monoclonal antibodies can provide meaningful protection against COVID-19 when people encounter the virus in indoor settings and unmasked during their everyday lives. Importantly, given the timeframe in which this study was conducted, these CANOPY data suggest that even with a substantial population-level backdrop of immunologic experience with SARS-CoV-2 from either infection or vaccination, additional protection against symptomatic COVID-19 may be available with monoclonal antibodies, including for certain individuals with moderate-to-severe immunocompromise.”</w:t>
      </w:r>
    </w:p>
    <w:p>
      <w:pPr>
        <w:spacing w:after="0" w:line="136"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“Invivyd is devoted to delivering protection from serious viral infectious diseases such as SARS-CoV-2. Today’s data align with and fuel our broader goals of innovating new molecules and educating the clinical community on the possibility of strong protection from monoclonal antibodies so that we can scale and democratize access to such medicines,” noted Marc Elia, Chairperson of the Board. “COVID-19 remains an unacceptable medical burden in the U.S. and around the world, and the incremental protection demonstrated by pemivibart in the CANOPY study points the way to the potential for a radically diminished risk of symptomatic disease via antibody prophylaxis. Our mission remains to innovate so that the immunocompromised community and ultimately much broader populations can experience high rates of protection from symptomatic COVID-19.”</w:t>
      </w:r>
    </w:p>
    <w:p>
      <w:pPr>
        <w:spacing w:after="0" w:line="123" w:lineRule="exact"/>
        <w:rPr>
          <w:sz w:val="20"/>
          <w:szCs w:val="20"/>
          <w:color w:val="auto"/>
        </w:rPr>
      </w:pPr>
    </w:p>
    <w:p>
      <w:pPr>
        <w:ind w:left="640" w:right="799"/>
        <w:spacing w:after="0" w:line="251" w:lineRule="auto"/>
        <w:rPr>
          <w:sz w:val="20"/>
          <w:szCs w:val="20"/>
          <w:color w:val="auto"/>
        </w:rPr>
      </w:pPr>
      <w:r>
        <w:rPr>
          <w:rFonts w:ascii="Times New Roman" w:cs="Times New Roman" w:eastAsia="Times New Roman" w:hAnsi="Times New Roman"/>
          <w:sz w:val="13"/>
          <w:szCs w:val="13"/>
          <w:color w:val="auto"/>
        </w:rPr>
        <w:t>“The positive CANOPY clinical efficacy data through 6 months is encouraging and will be helpful to clinicians in making an informed decision about PEMGARDA use in their immunocompromised, at-risk patients, “ said Cameron R. Wolfe, M.B.B.S., M.P.H., Professor of Medicine, Transplant Infectious Disease at Duke University School of Medicine. “The risk of COVID-19 for immunocompromised people remains disproportionate and having a mAb in the toolbox for pre-exposure prophylaxis is extremely beneficial.”</w:t>
      </w:r>
    </w:p>
    <w:p>
      <w:pPr>
        <w:sectPr>
          <w:pgSz w:w="11900" w:h="16838" w:orient="portrait"/>
          <w:cols w:equalWidth="0" w:num="1">
            <w:col w:w="9019"/>
          </w:cols>
          <w:pgMar w:left="1440" w:top="227"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PEMGARDA</w:t>
      </w:r>
    </w:p>
    <w:p>
      <w:pPr>
        <w:spacing w:after="0" w:line="80" w:lineRule="exact"/>
        <w:rPr>
          <w:sz w:val="20"/>
          <w:szCs w:val="20"/>
          <w:color w:val="auto"/>
        </w:rPr>
      </w:pPr>
    </w:p>
    <w:p>
      <w:pPr>
        <w:ind w:left="640" w:right="739"/>
        <w:spacing w:after="0" w:line="229" w:lineRule="auto"/>
        <w:rPr>
          <w:sz w:val="20"/>
          <w:szCs w:val="20"/>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and treatment of COVID-19. PEMGARDA has demonstrated in vitro neutralizing activity against major SARS-CoV-2 variants, including JN.1. PEMGARDA targets the SARS-CoV-2 spike protein receptor binding domain (RBD), thereby inhibiting virus attachment to the human ACE2 receptor on host cells.</w:t>
      </w:r>
    </w:p>
    <w:p>
      <w:pPr>
        <w:spacing w:after="0" w:line="14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34"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PEMGARDA is not authorized for use for treatment of COVID-19 or post-exposure prophylaxis of COVID-19.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135"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have substantially reduced susceptibility to PEMGARDA, and PEMGARDA may not be effective at preventing COVID-19 caused by these SARS-CoV-2 viral variants.</w:t>
      </w:r>
    </w:p>
    <w:p>
      <w:pPr>
        <w:spacing w:after="0" w:line="123"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ectPr>
          <w:pgSz w:w="11900" w:h="16838" w:orient="portrait"/>
          <w:cols w:equalWidth="0" w:num="1">
            <w:col w:w="9019"/>
          </w:cols>
          <w:pgMar w:left="1440" w:top="229"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CANOPY</w:t>
      </w:r>
    </w:p>
    <w:p>
      <w:pPr>
        <w:spacing w:after="0" w:line="80" w:lineRule="exact"/>
        <w:rPr>
          <w:sz w:val="20"/>
          <w:szCs w:val="20"/>
          <w:color w:val="auto"/>
        </w:rPr>
      </w:pPr>
    </w:p>
    <w:p>
      <w:pPr>
        <w:ind w:left="640" w:right="759"/>
        <w:spacing w:after="0" w:line="246" w:lineRule="auto"/>
        <w:rPr>
          <w:sz w:val="20"/>
          <w:szCs w:val="20"/>
          <w:color w:val="auto"/>
        </w:rPr>
      </w:pPr>
      <w:r>
        <w:rPr>
          <w:rFonts w:ascii="Times New Roman" w:cs="Times New Roman" w:eastAsia="Times New Roman" w:hAnsi="Times New Roman"/>
          <w:sz w:val="13"/>
          <w:szCs w:val="13"/>
          <w:color w:val="auto"/>
        </w:rPr>
        <w:t>The ongoing CANOPY Phase 3 clinical trial is designed to evaluate the safety and tolerability of pemivibart and to assess immunobridging from pemivibart to certain historical data from the company’s previous Phase 2/3 clinical trial of adintrevimab (ADG20) for the prevention of symptomatic COVID-19 (EVADE). Additionally, there are pre-specified exploratory endpoints through three, six and twelve months to evaluate clinical efficacy of pemivibart compared to placebo in the prevention of RT-PCR-confirmed symptomatic COVID-19. The latest analysis from the Phase 3 CANOPY clinical trial includes 180-day data. The CANOPY clinical trial enrolled participants in two cohorts: Cohort A is a single-arm, open-label trial in adults who have moderate-to-severe immune compromise including complex underlying medical conditions. Cohort B is a randomized, placebo-controlled cohort that enrolled adults without moderate-to-severe immune compromise who are at risk of acquiring COVID-19 due to regular unmasked face-to-face interactions in indoor settings.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Pemivibart (VYD222)</w:t>
      </w:r>
    </w:p>
    <w:p>
      <w:pPr>
        <w:spacing w:after="0" w:line="80"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Pemivibart is a half-life extended monoclonal antibody (mAb) candidate being investigated for the pre-exposure prophylaxis (prevention) of COVID-19 and the treatment of mild to moderate symptomatic COVID-19 in certain immunocompromised adults and adolescents. Pemivibart has demonstrated in vitro neutralizing activity in pseudotyped virus-like particle and authentic virus neutralization assays against various pre-Omicron and Omicron variants. Pemivibart was engineered from adintrevimab, Invivyd’s investigational mAb that has a robust safety data package and provided evidence of clinical efficacy in global Phase 2/3 clinical trials for both the prevention and treatment of COVID-19. Pemivibart has not been approved by the U.S. FDA or any other regulatory authority.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Invivyd</w:t>
      </w:r>
    </w:p>
    <w:p>
      <w:pPr>
        <w:spacing w:after="0" w:line="80" w:lineRule="exact"/>
        <w:rPr>
          <w:sz w:val="20"/>
          <w:szCs w:val="20"/>
          <w:color w:val="auto"/>
        </w:rPr>
      </w:pPr>
    </w:p>
    <w:p>
      <w:pPr>
        <w:ind w:left="640" w:right="759"/>
        <w:spacing w:after="0" w:line="229" w:lineRule="auto"/>
        <w:rPr>
          <w:sz w:val="20"/>
          <w:szCs w:val="20"/>
          <w:color w:val="auto"/>
        </w:rPr>
      </w:pPr>
      <w:r>
        <w:rPr>
          <w:rFonts w:ascii="Times New Roman" w:cs="Times New Roman" w:eastAsia="Times New Roman" w:hAnsi="Times New Roman"/>
          <w:sz w:val="13"/>
          <w:szCs w:val="13"/>
          <w:color w:val="auto"/>
        </w:rPr>
        <w:t>Invivyd, Inc. (Nasdaq: IVVD) is a biopharmaceutical company devoted to delivering protection from serious viral infectious diseases, beginning with SARS-CoV-2. The company’s proprietary INVYMAB</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platform approach combines state-of-the-art viral surveillance and predictive modeling with advanced antibody engineering. INVYMAB is designed to facilitate the rapid, serial generation of new monoclonal antibodies (mAbs) to address evolving viral threats. In March 2024, Invivyd received emergency use authorization (EUA) from the U.S. FDA for its first mAb in a planned series of innovative antibody candidates. Visit </w:t>
      </w:r>
      <w:r>
        <w:rPr>
          <w:rFonts w:ascii="Times New Roman" w:cs="Times New Roman" w:eastAsia="Times New Roman" w:hAnsi="Times New Roman"/>
          <w:sz w:val="13"/>
          <w:szCs w:val="13"/>
          <w:u w:val="single" w:color="auto"/>
          <w:color w:val="auto"/>
        </w:rPr>
        <w:t>https://invivyd.com/</w:t>
      </w:r>
      <w:r>
        <w:rPr>
          <w:rFonts w:ascii="Times New Roman" w:cs="Times New Roman" w:eastAsia="Times New Roman" w:hAnsi="Times New Roman"/>
          <w:sz w:val="13"/>
          <w:szCs w:val="13"/>
          <w:color w:val="auto"/>
        </w:rPr>
        <w:t xml:space="preserve"> to learn more.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Note Regarding Forward Looking Statements</w:t>
      </w:r>
    </w:p>
    <w:p>
      <w:pPr>
        <w:spacing w:after="0" w:line="80" w:lineRule="exact"/>
        <w:rPr>
          <w:sz w:val="20"/>
          <w:szCs w:val="20"/>
          <w:color w:val="auto"/>
        </w:rPr>
      </w:pPr>
    </w:p>
    <w:p>
      <w:pPr>
        <w:ind w:left="640" w:right="719"/>
        <w:spacing w:after="0" w:line="246"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Words such as “anticipates,” “believes,” “could,” “expects,” “estimates,”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company’s ongoing research and clinical development activities, as well as future potential research and clinical development efforts; the potential of pemivibart for clinical protection from symptomatic COVID-19 based on the 180-day exploratory clinical efficacy data from the CANOPY clinical trial; the potential for mAbs to provide meaningful protection against COVID-19; the company’s goal to scale and democratize access to mAbs; the potential for mAbs to provide additional protection against COVID-19; the company’s goals of innovating new molecules and educating the clinical community on the</w:t>
      </w:r>
    </w:p>
    <w:p>
      <w:pPr>
        <w:sectPr>
          <w:pgSz w:w="11900" w:h="16838" w:orient="portrait"/>
          <w:cols w:equalWidth="0" w:num="1">
            <w:col w:w="9019"/>
          </w:cols>
          <w:pgMar w:left="1440" w:top="229" w:right="1440" w:bottom="1440" w:gutter="0" w:footer="0" w:header="0"/>
        </w:sectPr>
      </w:pPr>
    </w:p>
    <w:bookmarkStart w:id="8" w:name="page9"/>
    <w:bookmarkEnd w:id="8"/>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possibility of strong protection from mAbs; the company’s devotion to delivering protection from serious viral infectious diseases, beginning with SARS-CoV-2; the design of the company’s INVYMAB platform approach to facilitate the rapid, serial generation of new mAbs to address evolving viral threats; the company’s plans for a series of innovative antibody candidates; the company’s expectation to provide full CANOPY clinical trial data in an upcoming scientific publication; the potential of PEMGARDA as a mAb for pre-exposure prophylaxis (prevention) of COVID-19 in adults and adolescents who have moderate-to-severe immune compromise; the ongoing </w:t>
      </w:r>
      <w:r>
        <w:rPr>
          <w:rFonts w:ascii="Times New Roman" w:cs="Times New Roman" w:eastAsia="Times New Roman" w:hAnsi="Times New Roman"/>
          <w:sz w:val="12"/>
          <w:szCs w:val="12"/>
          <w:i w:val="1"/>
          <w:iCs w:val="1"/>
          <w:color w:val="auto"/>
        </w:rPr>
        <w:t>in vitro</w:t>
      </w:r>
      <w:r>
        <w:rPr>
          <w:rFonts w:ascii="Times New Roman" w:cs="Times New Roman" w:eastAsia="Times New Roman" w:hAnsi="Times New Roman"/>
          <w:sz w:val="12"/>
          <w:szCs w:val="12"/>
          <w:color w:val="auto"/>
        </w:rPr>
        <w:t xml:space="preserve"> neutralizing activity of PEMGARDA against major SARS-CoV-2 variants;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and progress of the company’s discovery, preclinical and clinical development activities;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potential variability in neutralizing activity of product candidates tested in different assays, such as pseudovirus assays and authentic assays; the company’s reliance on third parties with respect to virus assay creation and product candidate testing and with respect to its clinical trials; variability of results in models used to predict activity against SARS-CoV-2 variants; whether pemivibart or any other product candidate is able to demonstrate and sustain neutralizing activity against major SARS-CoV-2 variants, particularly in the face of viral evolution; how long the EUA granted by the FDA for PEMGARDA will remain in effect and whether the EUA is revoked or revised by the FDA; the company’s ability to build and maintain sales, marketing and distribution capabilities to successfully commercialize PEMGARDA; uncertainties related to the regulatory authorization or approval process, and available development and regulatory pathways for authorization or approval of the company’s product candidates; the ability to maintain a continued acceptable safety, tolerability and efficacy profile of any product candidate following regulatory authorization or approval; changes in the regulatory environment; changes in expected or existing competition; the complexities of manufacturing mAb therapies; the company’s ability to leverage its INVYMAB platform approach to facilitate the rapid, serial generation of new mAbs to address evolving viral threats; any legal proceedings or investigations relating to the company;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2023 and the company’s Quarterly Report on Form 10-Q for the quarter ended June 30, 2024, each filed with the Securities and Exchange Commission (SEC), and in the company’s other filings with the SEC, and in its future reports to be filed with the SEC and available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Forward-looking statements contained in this press release are made as of this date, and Invivyd undertakes no duty to update such information whether as a result of new information, future events or otherwise, except as required under applicable law.</w:t>
      </w:r>
    </w:p>
    <w:p>
      <w:pPr>
        <w:sectPr>
          <w:pgSz w:w="11900" w:h="16838" w:orient="portrait"/>
          <w:cols w:equalWidth="0" w:num="1">
            <w:col w:w="9019"/>
          </w:cols>
          <w:pgMar w:left="1440" w:top="231"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press release contains hyperlinks to information that is not deemed to be incorporated by reference in this press release.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Relations</w:t>
      </w:r>
    </w:p>
    <w:p>
      <w:pPr>
        <w:spacing w:after="0" w:line="2" w:lineRule="exact"/>
        <w:rPr>
          <w:sz w:val="20"/>
          <w:szCs w:val="20"/>
          <w:color w:val="auto"/>
        </w:rPr>
      </w:pPr>
    </w:p>
    <w:p>
      <w:pPr>
        <w:ind w:left="640" w:right="7319" w:hanging="3"/>
        <w:spacing w:after="0" w:line="287" w:lineRule="auto"/>
        <w:tabs>
          <w:tab w:leader="none" w:pos="945"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208-0160 media@invivyd.com</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p>
    <w:p>
      <w:pPr>
        <w:spacing w:after="0" w:line="17" w:lineRule="exact"/>
        <w:rPr>
          <w:sz w:val="20"/>
          <w:szCs w:val="20"/>
          <w:color w:val="auto"/>
        </w:rPr>
      </w:pPr>
    </w:p>
    <w:p>
      <w:pPr>
        <w:ind w:left="640" w:right="7179" w:hanging="3"/>
        <w:spacing w:after="0" w:line="287" w:lineRule="auto"/>
        <w:tabs>
          <w:tab w:leader="none" w:pos="94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208-0160 investors@invivyd.com</w:t>
      </w:r>
    </w:p>
    <w:p>
      <w:pPr>
        <w:sectPr>
          <w:pgSz w:w="11900" w:h="16838" w:orient="portrait"/>
          <w:cols w:equalWidth="0" w:num="1">
            <w:col w:w="9019"/>
          </w:cols>
          <w:pgMar w:left="1440" w:top="231" w:right="1440" w:bottom="1440" w:gutter="0" w:footer="0" w:header="0"/>
        </w:sectPr>
      </w:pPr>
    </w:p>
    <w:bookmarkStart w:id="10" w:name="page11"/>
    <w:bookmarkEnd w:id="1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781"/>
    </w:lvl>
  </w:abstractNum>
  <w:abstractNum w:abstractNumId="3">
    <w:nsid w:val="625558EC"/>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2024-08-27T07:08:33Z</dcterms:created>
  <dcterms:modified xsi:type="dcterms:W3CDTF">2024-08-27T07:08:33Z</dcterms:modified>
</cp:coreProperties>
</file>