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Adagio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00534A102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7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Philip Chase</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 Lucent Drive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Lebanon, NH 03766</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(603) 643-7110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April 25,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4"/>
          <w:szCs w:val="24"/>
          <w:color w:val="auto"/>
        </w:rPr>
      </w:pPr>
    </w:p>
    <w:p>
      <w:pPr>
        <w:ind w:left="4" w:right="80" w:firstLine="440"/>
        <w:spacing w:after="0" w:line="277" w:lineRule="auto"/>
        <w:rPr>
          <w:sz w:val="20"/>
          <w:szCs w:val="20"/>
          <w:color w:val="auto"/>
        </w:rPr>
      </w:pPr>
      <w:r>
        <w:rPr>
          <w:rFonts w:ascii="Arial" w:cs="Arial" w:eastAsia="Arial" w:hAnsi="Arial"/>
          <w:sz w:val="18"/>
          <w:szCs w:val="18"/>
          <w:b w:val="1"/>
          <w:bCs w:val="1"/>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80" w:type="dxa"/>
            <w:vAlign w:val="bottom"/>
            <w:tcBorders>
              <w:right w:val="single" w:sz="8" w:color="auto"/>
            </w:tcBorders>
          </w:tcPr>
          <w:p>
            <w:pPr>
              <w:spacing w:after="0"/>
              <w:rPr>
                <w:sz w:val="19"/>
                <w:szCs w:val="19"/>
                <w:color w:val="auto"/>
              </w:rPr>
            </w:pPr>
          </w:p>
        </w:tc>
        <w:tc>
          <w:tcPr>
            <w:tcW w:w="1940" w:type="dxa"/>
            <w:vAlign w:val="bottom"/>
            <w:tcBorders>
              <w:top w:val="single" w:sz="8" w:color="auto"/>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w w:val="98"/>
              </w:rPr>
              <w:t>CUSIP No. 00534A102</w:t>
            </w:r>
          </w:p>
        </w:tc>
        <w:tc>
          <w:tcPr>
            <w:tcW w:w="1880" w:type="dxa"/>
            <w:vAlign w:val="bottom"/>
            <w:tcBorders>
              <w:top w:val="single" w:sz="8" w:color="auto"/>
              <w:bottom w:val="single" w:sz="8" w:color="auto"/>
              <w:right w:val="single" w:sz="8" w:color="auto"/>
            </w:tcBorders>
          </w:tcPr>
          <w:p>
            <w:pPr>
              <w:spacing w:after="0"/>
              <w:rPr>
                <w:sz w:val="19"/>
                <w:szCs w:val="19"/>
                <w:color w:val="auto"/>
              </w:rPr>
            </w:pPr>
          </w:p>
        </w:tc>
        <w:tc>
          <w:tcPr>
            <w:tcW w:w="360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13D</w:t>
            </w:r>
          </w:p>
        </w:tc>
        <w:tc>
          <w:tcPr>
            <w:tcW w:w="3480" w:type="dxa"/>
            <w:vAlign w:val="bottom"/>
            <w:tcBorders>
              <w:top w:val="single" w:sz="8" w:color="auto"/>
              <w:bottom w:val="single" w:sz="8" w:color="auto"/>
              <w:right w:val="single" w:sz="8" w:color="auto"/>
            </w:tcBorders>
            <w:gridSpan w:val="2"/>
          </w:tcPr>
          <w:p>
            <w:pPr>
              <w:ind w:left="2140"/>
              <w:spacing w:after="0"/>
              <w:rPr>
                <w:sz w:val="20"/>
                <w:szCs w:val="20"/>
                <w:color w:val="auto"/>
              </w:rPr>
            </w:pPr>
            <w:r>
              <w:rPr>
                <w:rFonts w:ascii="Arial" w:cs="Arial" w:eastAsia="Arial" w:hAnsi="Arial"/>
                <w:sz w:val="18"/>
                <w:szCs w:val="18"/>
                <w:color w:val="auto"/>
                <w:w w:val="88"/>
              </w:rPr>
              <w:t>Page 1 of 4 pages</w:t>
            </w:r>
          </w:p>
        </w:tc>
        <w:tc>
          <w:tcPr>
            <w:tcW w:w="0" w:type="dxa"/>
            <w:vAlign w:val="bottom"/>
          </w:tcPr>
          <w:p>
            <w:pPr>
              <w:spacing w:after="0"/>
              <w:rPr>
                <w:sz w:val="1"/>
                <w:szCs w:val="1"/>
                <w:color w:val="auto"/>
              </w:rPr>
            </w:pPr>
          </w:p>
        </w:tc>
      </w:tr>
      <w:tr>
        <w:trPr>
          <w:trHeight w:val="142"/>
        </w:trPr>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80" w:type="dxa"/>
            <w:vAlign w:val="bottom"/>
            <w:tcBorders>
              <w:bottom w:val="single" w:sz="8" w:color="auto"/>
            </w:tcBorders>
            <w:gridSpan w:val="2"/>
          </w:tcPr>
          <w:p>
            <w:pPr>
              <w:spacing w:after="0"/>
              <w:rPr>
                <w:sz w:val="12"/>
                <w:szCs w:val="12"/>
                <w:color w:val="auto"/>
              </w:rPr>
            </w:pPr>
          </w:p>
        </w:tc>
        <w:tc>
          <w:tcPr>
            <w:tcW w:w="3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0" w:type="dxa"/>
            <w:vAlign w:val="bottom"/>
            <w:tcBorders>
              <w:lef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right w:val="single" w:sz="8" w:color="auto"/>
            </w:tcBorders>
          </w:tcPr>
          <w:p>
            <w:pPr>
              <w:spacing w:after="0"/>
              <w:rPr>
                <w:sz w:val="19"/>
                <w:szCs w:val="19"/>
                <w:color w:val="auto"/>
              </w:rPr>
            </w:pPr>
          </w:p>
        </w:tc>
        <w:tc>
          <w:tcPr>
            <w:tcW w:w="704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34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Adimab, LLC</w:t>
            </w:r>
          </w:p>
        </w:tc>
        <w:tc>
          <w:tcPr>
            <w:tcW w:w="1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20"/>
                <w:szCs w:val="20"/>
                <w:color w:val="auto"/>
              </w:rPr>
            </w:pPr>
          </w:p>
        </w:tc>
        <w:tc>
          <w:tcPr>
            <w:tcW w:w="7040" w:type="dxa"/>
            <w:vAlign w:val="bottom"/>
            <w:gridSpan w:val="5"/>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tcBorders>
              <w:bottom w:val="single" w:sz="8" w:color="auto"/>
            </w:tcBorders>
            <w:gridSpan w:val="2"/>
          </w:tcPr>
          <w:p>
            <w:pPr>
              <w:jc w:val="right"/>
              <w:ind w:right="5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1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 w:type="dxa"/>
            <w:vAlign w:val="bottom"/>
            <w:tcBorders>
              <w:lef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18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gridSpan w:val="2"/>
          </w:tcPr>
          <w:p>
            <w:pPr>
              <w:spacing w:after="0"/>
              <w:rPr>
                <w:sz w:val="20"/>
                <w:szCs w:val="20"/>
                <w:color w:val="auto"/>
              </w:rPr>
            </w:pPr>
          </w:p>
        </w:tc>
        <w:tc>
          <w:tcPr>
            <w:tcW w:w="342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 w:type="dxa"/>
            <w:vAlign w:val="bottom"/>
            <w:tcBorders>
              <w:lef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7040" w:type="dxa"/>
            <w:vAlign w:val="bottom"/>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34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040" w:type="dxa"/>
            <w:vAlign w:val="bottom"/>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34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 w:type="dxa"/>
            <w:vAlign w:val="bottom"/>
            <w:tcBorders>
              <w:lef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70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w:t>
            </w: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 w:type="dxa"/>
            <w:vAlign w:val="bottom"/>
            <w:tcBorders>
              <w:left w:val="single" w:sz="8" w:color="auto"/>
            </w:tcBorders>
          </w:tcPr>
          <w:p>
            <w:pPr>
              <w:spacing w:after="0"/>
              <w:rPr>
                <w:sz w:val="24"/>
                <w:szCs w:val="24"/>
                <w:color w:val="auto"/>
              </w:rPr>
            </w:pPr>
          </w:p>
        </w:tc>
        <w:tc>
          <w:tcPr>
            <w:tcW w:w="13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880" w:type="dxa"/>
            <w:vAlign w:val="bottom"/>
          </w:tcPr>
          <w:p>
            <w:pPr>
              <w:ind w:left="180"/>
              <w:spacing w:after="0"/>
              <w:rPr>
                <w:sz w:val="20"/>
                <w:szCs w:val="20"/>
                <w:color w:val="auto"/>
              </w:rPr>
            </w:pPr>
            <w:r>
              <w:rPr>
                <w:rFonts w:ascii="Arial" w:cs="Arial" w:eastAsia="Arial" w:hAnsi="Arial"/>
                <w:sz w:val="18"/>
                <w:szCs w:val="18"/>
                <w:b w:val="1"/>
                <w:bCs w:val="1"/>
                <w:color w:val="auto"/>
              </w:rPr>
              <w:t>26,687,906</w:t>
            </w:r>
          </w:p>
        </w:tc>
        <w:tc>
          <w:tcPr>
            <w:tcW w:w="3600" w:type="dxa"/>
            <w:vAlign w:val="bottom"/>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 w:type="dxa"/>
            <w:vAlign w:val="bottom"/>
            <w:tcBorders>
              <w:lef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342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548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420" w:type="dxa"/>
            <w:vAlign w:val="bottom"/>
            <w:tcBorders>
              <w:right w:val="single" w:sz="8" w:color="auto"/>
            </w:tcBorders>
            <w:vMerge w:val="continue"/>
          </w:tcPr>
          <w:p>
            <w:pPr>
              <w:spacing w:after="0"/>
              <w:rPr>
                <w:sz w:val="9"/>
                <w:szCs w:val="9"/>
                <w:color w:val="auto"/>
              </w:rPr>
            </w:pPr>
          </w:p>
        </w:tc>
        <w:tc>
          <w:tcPr>
            <w:tcW w:w="5480" w:type="dxa"/>
            <w:vAlign w:val="bottom"/>
            <w:gridSpan w:val="2"/>
            <w:vMerge w:val="continue"/>
          </w:tcPr>
          <w:p>
            <w:pPr>
              <w:spacing w:after="0"/>
              <w:rPr>
                <w:sz w:val="9"/>
                <w:szCs w:val="9"/>
                <w:color w:val="auto"/>
              </w:rPr>
            </w:pPr>
          </w:p>
        </w:tc>
        <w:tc>
          <w:tcPr>
            <w:tcW w:w="34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4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360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tcBorders>
            <w:vMerge w:val="continue"/>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342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0" w:type="dxa"/>
            <w:vAlign w:val="bottom"/>
            <w:tcBorders>
              <w:lef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9</w:t>
            </w:r>
          </w:p>
        </w:tc>
        <w:tc>
          <w:tcPr>
            <w:tcW w:w="548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0" w:type="dxa"/>
            <w:vAlign w:val="bottom"/>
            <w:tcBorders>
              <w:left w:val="single" w:sz="8" w:color="auto"/>
            </w:tcBorders>
          </w:tcPr>
          <w:p>
            <w:pPr>
              <w:spacing w:after="0"/>
              <w:rPr>
                <w:sz w:val="13"/>
                <w:szCs w:val="13"/>
                <w:color w:val="auto"/>
              </w:rPr>
            </w:pPr>
          </w:p>
        </w:tc>
        <w:tc>
          <w:tcPr>
            <w:tcW w:w="1340" w:type="dxa"/>
            <w:vAlign w:val="bottom"/>
            <w:gridSpan w:val="3"/>
            <w:vMerge w:val="restart"/>
          </w:tcPr>
          <w:p>
            <w:pPr>
              <w:jc w:val="center"/>
              <w:ind w:left="130"/>
              <w:spacing w:after="0"/>
              <w:rPr>
                <w:sz w:val="20"/>
                <w:szCs w:val="20"/>
                <w:color w:val="auto"/>
              </w:rPr>
            </w:pPr>
            <w:r>
              <w:rPr>
                <w:rFonts w:ascii="Arial" w:cs="Arial" w:eastAsia="Arial" w:hAnsi="Arial"/>
                <w:sz w:val="18"/>
                <w:szCs w:val="18"/>
                <w:b w:val="1"/>
                <w:bCs w:val="1"/>
                <w:color w:val="auto"/>
              </w:rPr>
              <w:t>REPORTING</w:t>
            </w:r>
          </w:p>
        </w:tc>
        <w:tc>
          <w:tcPr>
            <w:tcW w:w="18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34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0" w:type="dxa"/>
            <w:vAlign w:val="bottom"/>
            <w:tcBorders>
              <w:left w:val="single" w:sz="8" w:color="auto"/>
            </w:tcBorders>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88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4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8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26,687,906</w:t>
            </w:r>
          </w:p>
        </w:tc>
        <w:tc>
          <w:tcPr>
            <w:tcW w:w="360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40"/>
              <w:spacing w:after="0" w:line="160" w:lineRule="exact"/>
              <w:rPr>
                <w:sz w:val="20"/>
                <w:szCs w:val="20"/>
                <w:color w:val="auto"/>
              </w:rPr>
            </w:pPr>
            <w:r>
              <w:rPr>
                <w:rFonts w:ascii="Arial" w:cs="Arial" w:eastAsia="Arial" w:hAnsi="Arial"/>
                <w:sz w:val="18"/>
                <w:szCs w:val="18"/>
                <w:b w:val="1"/>
                <w:bCs w:val="1"/>
                <w:color w:val="auto"/>
              </w:rPr>
              <w:t>WITH</w:t>
            </w:r>
          </w:p>
        </w:tc>
        <w:tc>
          <w:tcPr>
            <w:tcW w:w="18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w:t>
            </w: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560" w:type="dxa"/>
            <w:vAlign w:val="bottom"/>
            <w:gridSpan w:val="3"/>
          </w:tcPr>
          <w:p>
            <w:pPr>
              <w:ind w:left="140"/>
              <w:spacing w:after="0"/>
              <w:rPr>
                <w:sz w:val="20"/>
                <w:szCs w:val="20"/>
                <w:color w:val="auto"/>
              </w:rPr>
            </w:pPr>
            <w:r>
              <w:rPr>
                <w:rFonts w:ascii="Arial" w:cs="Arial" w:eastAsia="Arial" w:hAnsi="Arial"/>
                <w:sz w:val="18"/>
                <w:szCs w:val="18"/>
                <w:color w:val="auto"/>
                <w:w w:val="91"/>
              </w:rPr>
              <w:t>Aggregate Amount</w:t>
            </w: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Beneficially Owned by Each Reporting Person</w:t>
            </w:r>
          </w:p>
        </w:tc>
        <w:tc>
          <w:tcPr>
            <w:tcW w:w="34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86"/>
              </w:rPr>
              <w:t>26,687,906</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040" w:type="dxa"/>
            <w:vAlign w:val="bottom"/>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34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 w:type="dxa"/>
            <w:vAlign w:val="bottom"/>
            <w:tcBorders>
              <w:lef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70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34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24.3%</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04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OO (Limited Liability Company)</w:t>
            </w:r>
          </w:p>
        </w:tc>
        <w:tc>
          <w:tcPr>
            <w:tcW w:w="34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68"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7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00534A102</w:t>
            </w:r>
          </w:p>
        </w:tc>
        <w:tc>
          <w:tcPr>
            <w:tcW w:w="360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13D</w:t>
            </w:r>
          </w:p>
        </w:tc>
        <w:tc>
          <w:tcPr>
            <w:tcW w:w="3480" w:type="dxa"/>
            <w:vAlign w:val="bottom"/>
            <w:tcBorders>
              <w:top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8"/>
                <w:szCs w:val="18"/>
                <w:color w:val="auto"/>
                <w:w w:val="88"/>
              </w:rPr>
              <w:t>Page 2 of 4 pages</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This Amendment No. 1 (“</w:t>
      </w:r>
      <w:r>
        <w:rPr>
          <w:rFonts w:ascii="Arial" w:cs="Arial" w:eastAsia="Arial" w:hAnsi="Arial"/>
          <w:sz w:val="18"/>
          <w:szCs w:val="18"/>
          <w:u w:val="single" w:color="auto"/>
          <w:color w:val="auto"/>
        </w:rPr>
        <w:t>Amendment No. 1</w:t>
      </w:r>
      <w:r>
        <w:rPr>
          <w:rFonts w:ascii="Arial" w:cs="Arial" w:eastAsia="Arial" w:hAnsi="Arial"/>
          <w:sz w:val="18"/>
          <w:szCs w:val="18"/>
          <w:color w:val="auto"/>
        </w:rPr>
        <w:t>”) amends and supplements the Schedule 13D originally filed by Adimab, LLC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with the Securities and Exchange Commission on March 30, 2022, (the “</w:t>
      </w:r>
      <w:r>
        <w:rPr>
          <w:rFonts w:ascii="Arial" w:cs="Arial" w:eastAsia="Arial" w:hAnsi="Arial"/>
          <w:sz w:val="18"/>
          <w:szCs w:val="18"/>
          <w:u w:val="single" w:color="auto"/>
          <w:color w:val="auto"/>
        </w:rPr>
        <w:t>Original 13D</w:t>
      </w:r>
      <w:r>
        <w:rPr>
          <w:rFonts w:ascii="Arial" w:cs="Arial" w:eastAsia="Arial" w:hAnsi="Arial"/>
          <w:sz w:val="18"/>
          <w:szCs w:val="18"/>
          <w:color w:val="auto"/>
        </w:rPr>
        <w:t>,” and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Only those items that are hereby reported are amended; all other items reported in the Original 13D remain unchanged. Information given in response to each item shall be deemed incorporated by reference in all other items, as applicable. Capitalized terms not defined in this Amendment No. 1 have the meanings ascribed to them in the Original 13D.</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as follows:</w:t>
      </w:r>
    </w:p>
    <w:p>
      <w:pPr>
        <w:spacing w:after="0" w:line="11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On April 11, 2022, the Reporting Person, the Participating Stockholders (as defined below) and the Nominees (collectively, the “</w:t>
      </w:r>
      <w:r>
        <w:rPr>
          <w:rFonts w:ascii="Arial" w:cs="Arial" w:eastAsia="Arial" w:hAnsi="Arial"/>
          <w:sz w:val="18"/>
          <w:szCs w:val="18"/>
          <w:u w:val="single" w:color="auto"/>
          <w:color w:val="auto"/>
        </w:rPr>
        <w:t>Participants</w:t>
      </w:r>
      <w:r>
        <w:rPr>
          <w:rFonts w:ascii="Arial" w:cs="Arial" w:eastAsia="Arial" w:hAnsi="Arial"/>
          <w:sz w:val="18"/>
          <w:szCs w:val="18"/>
          <w:color w:val="auto"/>
        </w:rPr>
        <w:t>”) filed a preliminary proxy statement on Schedule 14A (the “</w:t>
      </w:r>
      <w:r>
        <w:rPr>
          <w:rFonts w:ascii="Arial" w:cs="Arial" w:eastAsia="Arial" w:hAnsi="Arial"/>
          <w:sz w:val="18"/>
          <w:szCs w:val="18"/>
          <w:u w:val="single" w:color="auto"/>
          <w:color w:val="auto"/>
        </w:rPr>
        <w:t>Preliminary Proxy Statement</w:t>
      </w:r>
      <w:r>
        <w:rPr>
          <w:rFonts w:ascii="Arial" w:cs="Arial" w:eastAsia="Arial" w:hAnsi="Arial"/>
          <w:sz w:val="18"/>
          <w:szCs w:val="18"/>
          <w:color w:val="auto"/>
        </w:rPr>
        <w:t>”), in connection with the potential solicitation of proxies in favor of the election of the Nominees as Class I directors at the 2022 Annual Meeting.</w:t>
      </w:r>
    </w:p>
    <w:p>
      <w:pPr>
        <w:spacing w:after="0" w:line="184"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Following the filing of the Preliminary Proxy Statement, the Reporting Person, along with Mithril II LP (“</w:t>
      </w:r>
      <w:r>
        <w:rPr>
          <w:rFonts w:ascii="Arial" w:cs="Arial" w:eastAsia="Arial" w:hAnsi="Arial"/>
          <w:sz w:val="16"/>
          <w:szCs w:val="16"/>
          <w:u w:val="single" w:color="auto"/>
          <w:color w:val="auto"/>
        </w:rPr>
        <w:t>Mithril</w:t>
      </w:r>
      <w:r>
        <w:rPr>
          <w:rFonts w:ascii="Arial" w:cs="Arial" w:eastAsia="Arial" w:hAnsi="Arial"/>
          <w:sz w:val="16"/>
          <w:szCs w:val="16"/>
          <w:color w:val="auto"/>
        </w:rPr>
        <w:t>”), M28, Polaris and Population Health (collectively, the “</w:t>
      </w:r>
      <w:r>
        <w:rPr>
          <w:rFonts w:ascii="Arial" w:cs="Arial" w:eastAsia="Arial" w:hAnsi="Arial"/>
          <w:sz w:val="16"/>
          <w:szCs w:val="16"/>
          <w:u w:val="single" w:color="auto"/>
          <w:color w:val="auto"/>
        </w:rPr>
        <w:t>Participating Stockholders</w:t>
      </w:r>
      <w:r>
        <w:rPr>
          <w:rFonts w:ascii="Arial" w:cs="Arial" w:eastAsia="Arial" w:hAnsi="Arial"/>
          <w:sz w:val="16"/>
          <w:szCs w:val="16"/>
          <w:color w:val="auto"/>
        </w:rPr>
        <w:t>”) engaged in discussions with the Issuer’s Board regarding a potential settlement. The Reporting Person and the Participating Stockholders proposed terms including, among other things, the departure of directors René Russo, Tom Heyman, Anand Shah, Howard Mayer and Michael Wyzga from the Board, the addition of the Nominees to the Board as Class III directors, the re-nomination of</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Mr. Royan to the Board and a reduction in the size of the Board. This proposal was rejected by a special committee of the Board that was formed on or about April 8, 2022 (the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8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On April 17, 2022, the Committee offered to nominate the Nominees for election to the Board at the 2022 Annual Meeting in exchange for a standstill, a liability waiver and a non-disparagement undertaking. On April 19, 2022, the Participating Stockholders made a counterproposal to the Committee’s April 17, 2022 proposal, which among other things modified the Committee’s proposal to provide for greater stockholder protections, including by proposing to declassify the Board at the Issuer’s 2023 annual meeting of stockholders (the “</w:t>
      </w:r>
      <w:r>
        <w:rPr>
          <w:rFonts w:ascii="Arial" w:cs="Arial" w:eastAsia="Arial" w:hAnsi="Arial"/>
          <w:sz w:val="18"/>
          <w:szCs w:val="18"/>
          <w:u w:val="single" w:color="auto"/>
          <w:color w:val="auto"/>
        </w:rPr>
        <w:t>2023 Annual Meeting</w:t>
      </w:r>
      <w:r>
        <w:rPr>
          <w:rFonts w:ascii="Arial" w:cs="Arial" w:eastAsia="Arial" w:hAnsi="Arial"/>
          <w:sz w:val="18"/>
          <w:szCs w:val="18"/>
          <w:color w:val="auto"/>
        </w:rPr>
        <w:t>”) and encourage Board consensus through supermajority decision-making. The Committee informed Mr. McGuire (a director of the Issuer who is also a Participant) on April 20, 2022 that it had considered and rejected such counterproposal, including the idea of providing greater stockholder accountability through a declassification of the Board. As of the date hereof, the Participating Stockholders have been unable to reach an agreement with the Board in respect of the foregoing matters.</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On April 25, 2022, Mithril mailed to the Issuer a further supplement to the Notice, notifying the Issuer that Mithril intended to propose an advisory, non-binding stockholder resolution that the Board take all necessary actions to cause the Board to be declassified in advance of the 2023 Annual Meeting, such that the term of each Board member expires at the 2023 Annual Meeting, and that any director elected to the Board at or after the 2023 Annual Meeting be elected on an annual basis (the “</w:t>
      </w:r>
      <w:r>
        <w:rPr>
          <w:rFonts w:ascii="Arial" w:cs="Arial" w:eastAsia="Arial" w:hAnsi="Arial"/>
          <w:sz w:val="18"/>
          <w:szCs w:val="18"/>
          <w:u w:val="single" w:color="auto"/>
          <w:color w:val="auto"/>
        </w:rPr>
        <w:t>Declassification Proposal</w:t>
      </w:r>
      <w:r>
        <w:rPr>
          <w:rFonts w:ascii="Arial" w:cs="Arial" w:eastAsia="Arial" w:hAnsi="Arial"/>
          <w:sz w:val="18"/>
          <w:szCs w:val="18"/>
          <w:color w:val="auto"/>
        </w:rPr>
        <w:t>”).</w:t>
      </w:r>
    </w:p>
    <w:p>
      <w:pPr>
        <w:sectPr>
          <w:pgSz w:w="11900" w:h="16838" w:orient="portrait"/>
          <w:cols w:equalWidth="0" w:num="1">
            <w:col w:w="10980"/>
          </w:cols>
          <w:pgMar w:left="440" w:top="268" w:right="479" w:bottom="1440" w:gutter="0" w:footer="0" w:header="0"/>
        </w:sectPr>
      </w:pPr>
    </w:p>
    <w:bookmarkStart w:id="3" w:name="page4"/>
    <w:bookmarkEnd w:id="3"/>
    <w:tbl>
      <w:tblPr>
        <w:tblLayout w:type="fixed"/>
        <w:tblInd w:w="7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00534A102</w:t>
            </w:r>
          </w:p>
        </w:tc>
        <w:tc>
          <w:tcPr>
            <w:tcW w:w="360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13D</w:t>
            </w:r>
          </w:p>
        </w:tc>
        <w:tc>
          <w:tcPr>
            <w:tcW w:w="3480" w:type="dxa"/>
            <w:vAlign w:val="bottom"/>
            <w:tcBorders>
              <w:top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8"/>
                <w:szCs w:val="18"/>
                <w:color w:val="auto"/>
                <w:w w:val="88"/>
              </w:rPr>
              <w:t>Page 3 of 4 pages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40" w:firstLine="440"/>
        <w:spacing w:after="0" w:line="257" w:lineRule="auto"/>
        <w:rPr>
          <w:sz w:val="20"/>
          <w:szCs w:val="20"/>
          <w:color w:val="auto"/>
        </w:rPr>
      </w:pPr>
      <w:r>
        <w:rPr>
          <w:rFonts w:ascii="Arial" w:cs="Arial" w:eastAsia="Arial" w:hAnsi="Arial"/>
          <w:sz w:val="18"/>
          <w:szCs w:val="18"/>
          <w:color w:val="auto"/>
        </w:rPr>
        <w:t>Also on April 25, 2022, (i) the Participating Stockholders reached an agreement, memorialized in an email dated April 25, 2022, to vote all of their respective shares of the Issuer’s Common Stock in favor of the Declassification Proposal at the 2022 Annual Meeting and (ii) the Participants filed a revised preliminary proxy statement (the “</w:t>
      </w:r>
      <w:r>
        <w:rPr>
          <w:rFonts w:ascii="Arial" w:cs="Arial" w:eastAsia="Arial" w:hAnsi="Arial"/>
          <w:sz w:val="18"/>
          <w:szCs w:val="18"/>
          <w:u w:val="single" w:color="auto"/>
          <w:color w:val="auto"/>
        </w:rPr>
        <w:t>Revised Preliminary Proxy Statement</w:t>
      </w:r>
      <w:r>
        <w:rPr>
          <w:rFonts w:ascii="Arial" w:cs="Arial" w:eastAsia="Arial" w:hAnsi="Arial"/>
          <w:sz w:val="18"/>
          <w:szCs w:val="18"/>
          <w:color w:val="auto"/>
        </w:rPr>
        <w:t>”), including both the proposal that the Nominees be elected as Class I directors and the Declassification Proposal. The Participants intend to solicit proxies in favor of both the election of the Nominees and the approval of the Declassification Proposal at the 2022 Annual Meeting.</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amended and supplemented as follows:</w:t>
      </w:r>
    </w:p>
    <w:p>
      <w:pPr>
        <w:spacing w:after="0" w:line="117"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On April 25, 2022, the Reporting Person and the other Participating Stockholders reached an agreement, memorialized in an email dated April 25, 2022, to vote all of their respective shares of the Issuer’s Common Stock in favor of the Declassification Proposal at the 2022 Annual Meeting.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4 of Amendment No. 1 is incorporated herein by reference.</w:t>
      </w:r>
    </w:p>
    <w:p>
      <w:pPr>
        <w:sectPr>
          <w:pgSz w:w="11900" w:h="16838" w:orient="portrait"/>
          <w:cols w:equalWidth="0" w:num="1">
            <w:col w:w="10980"/>
          </w:cols>
          <w:pgMar w:left="440" w:top="268" w:right="479" w:bottom="144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Materials to be Filed as Exhibits</w:t>
      </w:r>
    </w:p>
    <w:p>
      <w:pPr>
        <w:spacing w:after="0" w:line="211" w:lineRule="exact"/>
        <w:rPr>
          <w:sz w:val="20"/>
          <w:szCs w:val="20"/>
          <w:color w:val="auto"/>
        </w:rPr>
      </w:pPr>
    </w:p>
    <w:p>
      <w:pPr>
        <w:sectPr>
          <w:pgSz w:w="11900" w:h="16838" w:orient="portrait"/>
          <w:cols w:equalWidth="0" w:num="2">
            <w:col w:w="540" w:space="540"/>
            <w:col w:w="9900"/>
          </w:cols>
          <w:pgMar w:left="440" w:top="268" w:right="47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115" w:lineRule="exact"/>
        <w:rPr>
          <w:sz w:val="20"/>
          <w:szCs w:val="20"/>
          <w:color w:val="auto"/>
        </w:rPr>
      </w:pPr>
    </w:p>
    <w:p>
      <w:pPr>
        <w:sectPr>
          <w:pgSz w:w="11900" w:h="16838" w:orient="portrait"/>
          <w:cols w:equalWidth="0" w:num="2">
            <w:col w:w="900" w:space="720"/>
            <w:col w:w="9360"/>
          </w:cols>
          <w:pgMar w:left="440" w:top="268" w:right="479" w:bottom="1440" w:gutter="0" w:footer="0" w:header="0"/>
          <w:type w:val="continuous"/>
        </w:sect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Email dated April 25, 2022 memorializing the agreement among the Participating Stockholders.</w:t>
      </w:r>
    </w:p>
    <w:p>
      <w:pPr>
        <w:sectPr>
          <w:pgSz w:w="11900" w:h="16838" w:orient="portrait"/>
          <w:cols w:equalWidth="0" w:num="2">
            <w:col w:w="900" w:space="720"/>
            <w:col w:w="9360"/>
          </w:cols>
          <w:pgMar w:left="440" w:top="268" w:right="479" w:bottom="1440" w:gutter="0" w:footer="0" w:header="0"/>
          <w:type w:val="continuous"/>
        </w:sectPr>
      </w:pPr>
    </w:p>
    <w:bookmarkStart w:id="4" w:name="page5"/>
    <w:bookmarkEnd w:id="4"/>
    <w:tbl>
      <w:tblPr>
        <w:tblLayout w:type="fixed"/>
        <w:tblInd w:w="7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00534A102</w:t>
            </w:r>
          </w:p>
        </w:tc>
        <w:tc>
          <w:tcPr>
            <w:tcW w:w="3600" w:type="dxa"/>
            <w:vAlign w:val="bottom"/>
            <w:tcBorders>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13D</w:t>
            </w:r>
          </w:p>
        </w:tc>
        <w:tc>
          <w:tcPr>
            <w:tcW w:w="3480" w:type="dxa"/>
            <w:vAlign w:val="bottom"/>
            <w:tcBorders>
              <w:top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8"/>
                <w:szCs w:val="18"/>
                <w:color w:val="auto"/>
                <w:w w:val="88"/>
              </w:rPr>
              <w:t>Page 4 of 4 pages</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April 25,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Adimab,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Philip Chase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Philip Chase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68"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From: Ajay Royan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Sent: Monday, April 25, 2022 12:12 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Phil Chase; Lauren Crockett; Terry McGuire; Marc Elia; Clive Meanwell; Chris Cox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 Kadekar, Kiran; Brand, Richard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Re: Adagio nomination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Friends and colleagues,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we discussed and agreed earlier today, Mithril has delivered notice of our intention to make an advisory, non-binding declassification proposal at the 2022 annual meeting of ADGI (in addition to nominating our three director nominees at the meeting).</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email is to memorialize our understanding and agreement reached earlier today that you will vote your shares in favor of the declassification proposal at the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confirm your receipt of this message.*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Very best,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Ajay</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2022-04-26T05:19:06Z</dcterms:created>
  <dcterms:modified xsi:type="dcterms:W3CDTF">2022-04-26T05:19:06Z</dcterms:modified>
</cp:coreProperties>
</file>